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ff0000"/>
          <w:kern w:val="1"/>
          <w:u w:color="ff0000"/>
          <w:rtl w:val="0"/>
          <w:lang w:val="de-DE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kern w:val="1"/>
          <w:u w:color="000000"/>
          <w:rtl w:val="0"/>
          <w:lang w:val="de-DE"/>
        </w:rPr>
        <w:t>Auswertung/Zuordnung MESK</w:t>
      </w:r>
    </w:p>
    <w:tbl>
      <w:tblPr>
        <w:tblW w:w="94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892"/>
        <w:gridCol w:w="3773"/>
        <w:gridCol w:w="2800"/>
      </w:tblGrid>
      <w:tr>
        <w:tblPrEx>
          <w:shd w:val="clear" w:color="auto" w:fill="cad1d7"/>
        </w:tblPrEx>
        <w:trPr>
          <w:trHeight w:val="842" w:hRule="atLeast"/>
        </w:trPr>
        <w:tc>
          <w:tcPr>
            <w:tcW w:type="dxa" w:w="2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Kompetenzbereiche</w:t>
            </w:r>
          </w:p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Auspr</w:t>
            </w:r>
            <w:r>
              <w:rPr>
                <w:rFonts w:ascii="Arial" w:hAnsi="Arial" w:hint="default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gungsgrade der F</w:t>
            </w:r>
            <w:r>
              <w:rPr>
                <w:rFonts w:ascii="Arial" w:hAnsi="Arial" w:hint="default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higkeiten und Fertigkeiten</w:t>
            </w:r>
          </w:p>
        </w:tc>
      </w:tr>
      <w:tr>
        <w:tblPrEx>
          <w:shd w:val="clear" w:color="auto" w:fill="cad1d7"/>
        </w:tblPrEx>
        <w:trPr>
          <w:trHeight w:val="956" w:hRule="atLeast"/>
        </w:trPr>
        <w:tc>
          <w:tcPr>
            <w:tcW w:type="dxa" w:w="2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I. Selbstkompetenz</w:t>
            </w:r>
          </w:p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Emotionsregulation, Impulskontrolle, Reflexionsf</w:t>
            </w:r>
            <w:r>
              <w:rPr>
                <w:rFonts w:ascii="Arial" w:hAnsi="Arial" w:hint="default"/>
                <w:kern w:val="1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higkeit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2" w:hRule="atLeast"/>
        </w:trPr>
        <w:tc>
          <w:tcPr>
            <w:tcW w:type="dxa" w:w="2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II. Sozialkompetenz</w:t>
            </w:r>
          </w:p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Soziale Orientierung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2" w:hRule="atLeast"/>
        </w:trPr>
        <w:tc>
          <w:tcPr>
            <w:tcW w:type="dxa" w:w="28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Soziale Initiative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2" w:hRule="atLeast"/>
        </w:trPr>
        <w:tc>
          <w:tcPr>
            <w:tcW w:type="dxa" w:w="28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Konfliktverhalten- internalisierend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2" w:hRule="atLeast"/>
        </w:trPr>
        <w:tc>
          <w:tcPr>
            <w:tcW w:type="dxa" w:w="28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Konfliktverhalten externalisierend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2" w:hRule="atLeast"/>
        </w:trPr>
        <w:tc>
          <w:tcPr>
            <w:tcW w:type="dxa" w:w="28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Regelverhalten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2" w:hRule="atLeast"/>
        </w:trPr>
        <w:tc>
          <w:tcPr>
            <w:tcW w:type="dxa" w:w="28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u w:color="000000"/>
                <w:shd w:val="nil" w:color="auto" w:fill="auto"/>
                <w:rtl w:val="0"/>
                <w:lang w:val="de-DE"/>
              </w:rPr>
              <w:t>III. Lernkompetenz</w:t>
            </w:r>
          </w:p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Lern- und Leistungsbereitschaft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62" w:hRule="atLeast"/>
        </w:trPr>
        <w:tc>
          <w:tcPr>
            <w:tcW w:type="dxa" w:w="28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u w:color="000000"/>
                <w:shd w:val="nil" w:color="auto" w:fill="auto"/>
                <w:rtl w:val="0"/>
                <w:lang w:val="de-DE"/>
              </w:rPr>
              <w:t>Konzentration und Sorgfalt beim Lernen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kern w:val="1"/>
          <w:u w:color="ff0000"/>
          <w:rtl w:val="0"/>
          <w:lang w:val="de-DE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