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TROG-D - Auswertungsbeispiel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Test zur 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berpr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fung des Grammatikverst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ä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ndnisses (TROG-D)</w:t>
      </w:r>
      <w:r>
        <w:rPr>
          <w:rFonts w:ascii="Arial" w:cs="Arial" w:hAnsi="Arial" w:eastAsia="Arial"/>
          <w:b w:val="1"/>
          <w:bCs w:val="1"/>
          <w:u w:color="000000"/>
          <w:vertAlign w:val="superscript"/>
          <w:rtl w:val="0"/>
          <w:lang w:val="de-DE"/>
        </w:rPr>
        <w:footnoteReference w:id="1"/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 am 18.05.24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Auswertung:</w:t>
      </w:r>
    </w:p>
    <w:p>
      <w:pPr>
        <w:pStyle w:val="Standard"/>
        <w:numPr>
          <w:ilvl w:val="0"/>
          <w:numId w:val="2"/>
        </w:numPr>
        <w:bidi w:val="0"/>
        <w:spacing w:before="0" w:line="276" w:lineRule="auto"/>
        <w:ind w:right="72"/>
        <w:jc w:val="both"/>
        <w:rPr>
          <w:rFonts w:ascii="Arial" w:hAnsi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Quantitative Analyse:</w:t>
      </w:r>
      <w:r>
        <w:rPr>
          <w:rFonts w:ascii="Arial" w:cs="Arial" w:hAnsi="Arial" w:eastAsia="Arial"/>
          <w:u w:color="000000"/>
          <w:rtl w:val="0"/>
          <w:lang w:val="de-DE"/>
        </w:rPr>
        <w:br w:type="textWrapping"/>
      </w:r>
      <w:r>
        <w:rPr>
          <w:rFonts w:ascii="Arial" w:hAnsi="Arial"/>
          <w:u w:color="000000"/>
          <w:rtl w:val="0"/>
          <w:lang w:val="de-DE"/>
        </w:rPr>
        <w:t>RW: 12; T-Wert: 35; PR: 6</w:t>
      </w:r>
      <w:r>
        <w:rPr>
          <w:rFonts w:ascii="Arial" w:cs="Arial" w:hAnsi="Arial" w:eastAsia="Arial"/>
          <w:u w:color="000000"/>
          <w:rtl w:val="0"/>
          <w:lang w:val="de-DE"/>
        </w:rPr>
        <w:br w:type="textWrapping"/>
      </w:r>
      <w:r>
        <w:rPr>
          <w:rFonts w:ascii="Arial" w:hAnsi="Arial"/>
          <w:u w:color="000000"/>
          <w:rtl w:val="0"/>
          <w:lang w:val="de-DE"/>
        </w:rPr>
        <w:t>Das Manual empfiehlt die Verwendung der T-Werte. Mit einem T-Wert von 35 liegt das Kind im unterdurchschnittlichen Bereich.</w:t>
      </w:r>
    </w:p>
    <w:p>
      <w:pPr>
        <w:pStyle w:val="Standard"/>
        <w:numPr>
          <w:ilvl w:val="0"/>
          <w:numId w:val="2"/>
        </w:numPr>
        <w:bidi w:val="0"/>
        <w:spacing w:before="0" w:line="276" w:lineRule="auto"/>
        <w:ind w:right="72"/>
        <w:jc w:val="both"/>
        <w:rPr>
          <w:rFonts w:ascii="Arial" w:hAnsi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Qualitative Analyse:</w:t>
      </w:r>
      <w:r>
        <w:rPr>
          <w:rFonts w:ascii="Arial" w:cs="Arial" w:hAnsi="Arial" w:eastAsia="Arial"/>
          <w:u w:color="000000"/>
          <w:rtl w:val="0"/>
          <w:lang w:val="de-DE"/>
        </w:rPr>
        <w:br w:type="textWrapping"/>
      </w:r>
      <w:r>
        <w:rPr>
          <w:rFonts w:ascii="Arial" w:hAnsi="Arial"/>
          <w:u w:color="000000"/>
          <w:rtl w:val="0"/>
          <w:lang w:val="de-DE"/>
        </w:rPr>
        <w:t>Bei den insgesamt 18 falsch beantworteten Items handelt es sich ausschlie</w:t>
      </w:r>
      <w:r>
        <w:rPr>
          <w:rFonts w:ascii="Arial" w:hAnsi="Arial" w:hint="default"/>
          <w:u w:color="000000"/>
          <w:rtl w:val="0"/>
          <w:lang w:val="de-DE"/>
        </w:rPr>
        <w:t>ß</w:t>
      </w:r>
      <w:r>
        <w:rPr>
          <w:rFonts w:ascii="Arial" w:hAnsi="Arial"/>
          <w:u w:color="000000"/>
          <w:rtl w:val="0"/>
          <w:lang w:val="de-DE"/>
        </w:rPr>
        <w:t>lich um grammatische Ablenker. Es besteht die Vermutung, dass ein spezifisch grammatisches Problem vorliegt und weniger ein generelles Sprachverst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 xml:space="preserve">ndnisproblem. Insbesondere bei den Skalen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Topikalisierung</w:t>
      </w:r>
      <w:r>
        <w:rPr>
          <w:rFonts w:ascii="Arial" w:hAnsi="Arial" w:hint="default"/>
          <w:u w:color="000000"/>
          <w:rtl w:val="0"/>
          <w:lang w:val="de-DE"/>
        </w:rPr>
        <w:t>“</w:t>
      </w:r>
      <w:r>
        <w:rPr>
          <w:rFonts w:ascii="Arial" w:hAnsi="Arial"/>
          <w:u w:color="000000"/>
          <w:rtl w:val="0"/>
          <w:lang w:val="de-DE"/>
        </w:rPr>
        <w:t xml:space="preserve">,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Distinktive Konjunktion (weder - noch)</w:t>
      </w:r>
      <w:r>
        <w:rPr>
          <w:rFonts w:ascii="Arial" w:hAnsi="Arial" w:hint="default"/>
          <w:u w:color="000000"/>
          <w:rtl w:val="0"/>
          <w:lang w:val="de-DE"/>
        </w:rPr>
        <w:t xml:space="preserve">“ </w:t>
      </w:r>
      <w:r>
        <w:rPr>
          <w:rFonts w:ascii="Arial" w:hAnsi="Arial"/>
          <w:u w:color="000000"/>
          <w:rtl w:val="0"/>
          <w:lang w:val="de-DE"/>
        </w:rPr>
        <w:t>und Relativsatz (Pronomen im Akkusativ/Dativ) wurden erh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hte Fehlerzahlen festgestellt.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Der TROG-D untersucht das Verst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ndnis f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r die grammatischen Strukturen des Deutsch, die durch Flexion, Funktionsw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rter und Satzstellung markiert werden. Das Verst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ndnis der morphologisch-syntaktischen Strukturen kann qualitativ und quantitativ untersucht und eingesch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tzt werden (Quelle: testzentrale.de).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